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6" w:rsidRPr="009A1F22" w:rsidRDefault="008E7FF6" w:rsidP="008E7FF6">
      <w:pPr>
        <w:tabs>
          <w:tab w:val="left" w:pos="7655"/>
        </w:tabs>
        <w:spacing w:before="0" w:after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>THỦ TỤC HÀNH CHÍNH</w:t>
      </w:r>
    </w:p>
    <w:p w:rsidR="008E7FF6" w:rsidRPr="009A1F22" w:rsidRDefault="008E7FF6" w:rsidP="008E7FF6">
      <w:pPr>
        <w:tabs>
          <w:tab w:val="left" w:pos="7655"/>
        </w:tabs>
        <w:spacing w:before="0" w:after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NGÀNH TƯ PHÁP TỈNH ĐỒNG NAI</w:t>
      </w:r>
    </w:p>
    <w:p w:rsidR="008E7FF6" w:rsidRPr="009A1F22" w:rsidRDefault="008E7FF6" w:rsidP="008E7FF6">
      <w:pPr>
        <w:spacing w:before="0" w:after="0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i/>
          <w:sz w:val="28"/>
          <w:szCs w:val="28"/>
          <w:lang w:val="pt-BR"/>
        </w:rPr>
        <w:t xml:space="preserve"> (Ban </w:t>
      </w:r>
      <w:r>
        <w:rPr>
          <w:rFonts w:ascii="Times New Roman" w:eastAsia="Times New Roman" w:hAnsi="Times New Roman"/>
          <w:i/>
          <w:sz w:val="28"/>
          <w:szCs w:val="28"/>
          <w:lang w:val="pt-BR"/>
        </w:rPr>
        <w:t>hành kèm theo Quyết định số 3244/QĐ-UBND ngày 14/9/2018</w:t>
      </w:r>
    </w:p>
    <w:p w:rsidR="008E7FF6" w:rsidRPr="009A1F22" w:rsidRDefault="008E7FF6" w:rsidP="008E7FF6">
      <w:pPr>
        <w:spacing w:before="0" w:after="0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i/>
          <w:sz w:val="28"/>
          <w:szCs w:val="28"/>
          <w:lang w:val="pt-BR"/>
        </w:rPr>
        <w:t>của Chủ tịch Ủy ban nhân dân tỉnh Đồng Nai)</w:t>
      </w:r>
    </w:p>
    <w:p w:rsidR="008E7FF6" w:rsidRPr="009A1F22" w:rsidRDefault="008E7FF6" w:rsidP="008E7FF6">
      <w:pPr>
        <w:spacing w:before="480" w:after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3B0A36">
        <w:rPr>
          <w:rFonts w:ascii="Times New Roman" w:eastAsia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42544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66A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75pt,3.35pt" to="31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Fik6bXaAAAABwEAAA8AAAAAAAAAAAAAAAAAdgQAAGRycy9kb3ducmV2LnhtbFBLBQYA&#10;AAAABAAEAPMAAAB9BQAAAAA=&#10;"/>
            </w:pict>
          </mc:Fallback>
        </mc:AlternateContent>
      </w: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>Phần I</w:t>
      </w:r>
    </w:p>
    <w:p w:rsidR="008E7FF6" w:rsidRPr="009A1F22" w:rsidRDefault="008E7FF6" w:rsidP="008E7FF6">
      <w:pPr>
        <w:spacing w:before="0" w:after="36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>DANH MỤC THỦ TỤC HÀNH CHÍNH</w:t>
      </w:r>
    </w:p>
    <w:p w:rsidR="008E7FF6" w:rsidRPr="008E7FF6" w:rsidRDefault="008E7FF6" w:rsidP="008E7FF6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8E7FF6">
        <w:rPr>
          <w:rFonts w:ascii="Times New Roman" w:eastAsia="Times New Roman" w:hAnsi="Times New Roman"/>
          <w:b/>
          <w:sz w:val="28"/>
          <w:szCs w:val="28"/>
          <w:lang w:val="pt-BR"/>
        </w:rPr>
        <w:t>THỦ TỤC HÀNH CHÍNH CẤP HUYỆN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6"/>
        <w:gridCol w:w="7192"/>
        <w:gridCol w:w="1184"/>
      </w:tblGrid>
      <w:tr w:rsidR="008E7FF6" w:rsidRPr="009A1F22" w:rsidTr="00EF19CA">
        <w:trPr>
          <w:trHeight w:val="525"/>
          <w:jc w:val="center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Số</w:t>
            </w:r>
            <w:proofErr w:type="spellEnd"/>
          </w:p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7208" w:type="dxa"/>
            <w:gridSpan w:val="2"/>
            <w:vMerge w:val="restart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184" w:type="dxa"/>
            <w:vMerge w:val="restart"/>
            <w:vAlign w:val="center"/>
          </w:tcPr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Trang</w:t>
            </w:r>
          </w:p>
        </w:tc>
      </w:tr>
      <w:tr w:rsidR="008E7FF6" w:rsidRPr="009A1F22" w:rsidTr="00EF19CA">
        <w:trPr>
          <w:trHeight w:val="442"/>
          <w:jc w:val="center"/>
        </w:trPr>
        <w:tc>
          <w:tcPr>
            <w:tcW w:w="1064" w:type="dxa"/>
            <w:vMerge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8" w:type="dxa"/>
            <w:gridSpan w:val="2"/>
            <w:vMerge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vMerge/>
            <w:vAlign w:val="center"/>
          </w:tcPr>
          <w:p w:rsidR="008E7FF6" w:rsidRPr="009A1F22" w:rsidRDefault="008E7FF6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sổ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gốc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tác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thuật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Phòng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Tư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phải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tác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áp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cả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do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tổ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Việt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do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tổ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chức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ngoài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;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tổ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chức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Việt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Nam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liên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với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tổ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chức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ngoài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hoặc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liên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đến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tài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động</w:t>
            </w:r>
            <w:proofErr w:type="spellEnd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thỏa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thuận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phân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chia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sửa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đổi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bổ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sung,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hủy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bỏ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B12461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s</w:t>
            </w:r>
            <w:r w:rsidRPr="009A1F2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ửa lỗi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sót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trong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8E7FF6" w:rsidRPr="009A1F22" w:rsidTr="00EF19CA">
        <w:trPr>
          <w:trHeight w:val="381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cha,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con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cha,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con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dứt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Thay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tộc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hủy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cha,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con;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cha,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con;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thay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92" w:type="dxa"/>
            <w:shd w:val="clear" w:color="auto" w:fill="auto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8E7FF6" w:rsidRPr="009A1F22" w:rsidRDefault="008E7FF6" w:rsidP="00EF19CA">
            <w:pPr>
              <w:tabs>
                <w:tab w:val="left" w:pos="3726"/>
              </w:tabs>
              <w:spacing w:before="80" w:after="8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Trợ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giúp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pháp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184" w:type="dxa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Thủ tục yêu c</w:t>
            </w:r>
            <w:r w:rsidRPr="009A1F22">
              <w:rPr>
                <w:rFonts w:ascii="Times New Roman" w:hAnsi="Times New Roman"/>
                <w:sz w:val="28"/>
                <w:szCs w:val="28"/>
              </w:rPr>
              <w:t>ầ</w:t>
            </w: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u trợ giúp pháp lý</w:t>
            </w:r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Thủ tục thay đ</w:t>
            </w:r>
            <w:r w:rsidRPr="009A1F22">
              <w:rPr>
                <w:rFonts w:ascii="Times New Roman" w:hAnsi="Times New Roman"/>
                <w:sz w:val="28"/>
                <w:szCs w:val="28"/>
              </w:rPr>
              <w:t>ổ</w:t>
            </w: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i người thực hiện trợ giúp pháp lý</w:t>
            </w:r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</w:tr>
      <w:tr w:rsidR="008E7FF6" w:rsidRPr="009A1F22" w:rsidTr="00EF19CA">
        <w:trPr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8E7FF6" w:rsidRPr="009A1F22" w:rsidRDefault="008E7FF6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Thủ tục đ</w:t>
            </w:r>
            <w:r w:rsidRPr="009A1F22">
              <w:rPr>
                <w:rFonts w:ascii="Times New Roman" w:hAnsi="Times New Roman"/>
                <w:sz w:val="28"/>
                <w:szCs w:val="28"/>
              </w:rPr>
              <w:t xml:space="preserve">ề </w:t>
            </w: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nghị thanh toán chi phí thực hiện vụ việc trợ giúp pháp lý</w:t>
            </w:r>
          </w:p>
        </w:tc>
        <w:tc>
          <w:tcPr>
            <w:tcW w:w="1184" w:type="dxa"/>
            <w:vAlign w:val="center"/>
          </w:tcPr>
          <w:p w:rsidR="008E7FF6" w:rsidRPr="009A1F22" w:rsidRDefault="00437E3E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bookmarkStart w:id="0" w:name="_GoBack"/>
            <w:bookmarkEnd w:id="0"/>
          </w:p>
        </w:tc>
      </w:tr>
    </w:tbl>
    <w:p w:rsidR="00D770D0" w:rsidRPr="008E7FF6" w:rsidRDefault="00D770D0">
      <w:pPr>
        <w:rPr>
          <w:lang w:val="pt-BR"/>
        </w:rPr>
      </w:pPr>
    </w:p>
    <w:sectPr w:rsidR="00D770D0" w:rsidRPr="008E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A"/>
    <w:rsid w:val="00437E3E"/>
    <w:rsid w:val="008E7FF6"/>
    <w:rsid w:val="00B12461"/>
    <w:rsid w:val="00B56EBA"/>
    <w:rsid w:val="00C74660"/>
    <w:rsid w:val="00D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A29A93-251F-4C11-A9E1-272FD30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F6"/>
    <w:pPr>
      <w:spacing w:before="240" w:after="240" w:line="240" w:lineRule="auto"/>
      <w:ind w:firstLine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72214-4C49-4200-9D23-5239EB3F1C8F}"/>
</file>

<file path=customXml/itemProps2.xml><?xml version="1.0" encoding="utf-8"?>
<ds:datastoreItem xmlns:ds="http://schemas.openxmlformats.org/officeDocument/2006/customXml" ds:itemID="{B7579C16-F08A-40E9-9E9C-13694A194B2E}"/>
</file>

<file path=customXml/itemProps3.xml><?xml version="1.0" encoding="utf-8"?>
<ds:datastoreItem xmlns:ds="http://schemas.openxmlformats.org/officeDocument/2006/customXml" ds:itemID="{B01C30B3-26D1-4906-9C6D-76CAFC6C9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2019-09-23T03:23:00Z</dcterms:created>
  <dcterms:modified xsi:type="dcterms:W3CDTF">2019-09-23T03:41:00Z</dcterms:modified>
</cp:coreProperties>
</file>